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68" w:rsidRDefault="00A502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b/>
          <w:sz w:val="36"/>
        </w:rPr>
      </w:pPr>
      <w:bookmarkStart w:id="0" w:name="_GoBack"/>
      <w:bookmarkEnd w:id="0"/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b/>
          <w:sz w:val="36"/>
        </w:rPr>
      </w:pPr>
      <w:r>
        <w:rPr>
          <w:b/>
          <w:sz w:val="36"/>
        </w:rPr>
        <w:t>AA (GB) Website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The General Service Board of Alcoholics Anonymous GB was tasked by Conference 1998, Committee 6, to provide and maintain a presence on the Internet on behalf of the Fellowship of Great Britain.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 xml:space="preserve">The national AAGB website is located at </w:t>
      </w:r>
      <w:r>
        <w:rPr>
          <w:color w:val="0000FF"/>
          <w:sz w:val="28"/>
          <w:u w:val="single"/>
        </w:rPr>
        <w:t>www.alcoholics-anonymous.org.uk</w:t>
      </w:r>
      <w:r>
        <w:rPr>
          <w:sz w:val="28"/>
        </w:rPr>
        <w:t>, and is administered on behalf of the Fellowship by the General Service Board via the Electronic Communications Sub Committee (ECSC) and by the General Service Office (GSO) of Great Britain.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 xml:space="preserve">In addition to the ECSC and GSO staff, the website services are supported by the Fellowship service workers of the </w:t>
      </w:r>
      <w:proofErr w:type="spellStart"/>
      <w:r>
        <w:rPr>
          <w:sz w:val="28"/>
        </w:rPr>
        <w:t>webteam</w:t>
      </w:r>
      <w:proofErr w:type="spellEnd"/>
      <w:r>
        <w:rPr>
          <w:sz w:val="28"/>
        </w:rPr>
        <w:t>. This comprises members recruited at local level – Online Responders, Forum Moderators and Web Assistants. In the event of necessity, technical support work may be outsourced at the discretion of the General Service Board.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Alcoholics-Anonymous.org.uk is a multi-function site with dedicated areas allocated to fulfilling our Primary Purpose and to providing services to the Fellowship.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In accordance with Conference 2013 decision, the following external links should be allowed (using an appropriate disclaimer):</w:t>
      </w:r>
    </w:p>
    <w:p w:rsidR="00A50268" w:rsidRDefault="00EA0FEF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The websites of other national AA General Service Offices</w:t>
      </w:r>
    </w:p>
    <w:p w:rsidR="00A50268" w:rsidRDefault="00EA0FEF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Mapping software, to aid searches for meetings</w:t>
      </w:r>
    </w:p>
    <w:p w:rsidR="00A50268" w:rsidRDefault="00EA0FEF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Language translation software, to aid people for whom English is not their first language</w:t>
      </w:r>
    </w:p>
    <w:p w:rsidR="00A50268" w:rsidRDefault="00EA0FEF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Secure payment services websites, to allow members to use the online shop</w:t>
      </w:r>
    </w:p>
    <w:p w:rsidR="00A50268" w:rsidRDefault="00EA0F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All other external links will require Conference approval.</w:t>
      </w:r>
    </w:p>
    <w:p w:rsidR="00A50268" w:rsidRDefault="00A502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</w:pPr>
    </w:p>
    <w:p w:rsidR="00A50268" w:rsidRDefault="00A50268">
      <w:pPr>
        <w:rPr>
          <w:i/>
        </w:rPr>
      </w:pPr>
    </w:p>
    <w:sectPr w:rsidR="00A50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0" w:h="16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68" w:rsidRDefault="00EA0FEF">
      <w:r>
        <w:separator/>
      </w:r>
    </w:p>
  </w:endnote>
  <w:endnote w:type="continuationSeparator" w:id="0">
    <w:p w:rsidR="00A50268" w:rsidRDefault="00EA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rPr>
        <w:i/>
      </w:rPr>
    </w:pPr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rPr>
        <w:i/>
      </w:rPr>
    </w:pP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rPr>
        <w:i/>
      </w:rPr>
    </w:pPr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68" w:rsidRDefault="00EA0FEF">
      <w:r>
        <w:separator/>
      </w:r>
    </w:p>
  </w:footnote>
  <w:footnote w:type="continuationSeparator" w:id="0">
    <w:p w:rsidR="00A50268" w:rsidRDefault="00EA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8" w:rsidRDefault="00EA0FEF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 original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EF"/>
    <w:rsid w:val="00831CBC"/>
    <w:rsid w:val="00A50268"/>
    <w:rsid w:val="00E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13084F9-8E63-4A8D-8D7D-CC380400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color w:val="000000"/>
      <w:sz w:val="24"/>
      <w:lang w:val="en-US"/>
    </w:rPr>
  </w:style>
  <w:style w:type="character" w:customStyle="1" w:styleId="DefaultSS">
    <w:name w:val="Default SS"/>
    <w:rPr>
      <w:rFonts w:ascii="Times" w:hAnsi="Times"/>
      <w:noProof w:val="0"/>
      <w:color w:val="000000"/>
      <w:sz w:val="18"/>
      <w:lang w:val="en-US"/>
    </w:rPr>
  </w:style>
  <w:style w:type="paragraph" w:customStyle="1" w:styleId="DefaultTB">
    <w:name w:val="Default TB"/>
    <w:basedOn w:val="Default"/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kay</dc:creator>
  <cp:keywords/>
  <cp:lastModifiedBy>Sharon Smyth</cp:lastModifiedBy>
  <cp:revision>2</cp:revision>
  <cp:lastPrinted>2016-04-26T14:36:00Z</cp:lastPrinted>
  <dcterms:created xsi:type="dcterms:W3CDTF">2016-09-23T14:14:00Z</dcterms:created>
  <dcterms:modified xsi:type="dcterms:W3CDTF">2016-09-23T14:14:00Z</dcterms:modified>
</cp:coreProperties>
</file>